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 videí s ambasádormi: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https://www.youtube.com/watch?v=EWwGw6EUTY8&amp;index=1&amp;list=PLlKybLyOXZeAPT0aw3ZJDgHe3Udwg4AuF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Blog (making of):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http://www.elitesolutions.sk/blog/ako-vznika-kampan-roka/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EWwGw6EUTY8&amp;index=1&amp;list=PLlKybLyOXZeAPT0aw3ZJDgHe3Udwg4AuF" TargetMode="External"/><Relationship Id="rId6" Type="http://schemas.openxmlformats.org/officeDocument/2006/relationships/hyperlink" Target="http://www.elitesolutions.sk/blog/ako-vznika-kampan-roka/" TargetMode="External"/></Relationships>
</file>