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A5F5A" w14:textId="01EB223E" w:rsidR="00763786" w:rsidRPr="001A5E77" w:rsidRDefault="009410EE" w:rsidP="00F351B5">
      <w:pPr>
        <w:pStyle w:val="Normlnywebov"/>
        <w:spacing w:before="0" w:beforeAutospacing="0" w:after="0" w:afterAutospacing="0"/>
        <w:jc w:val="center"/>
        <w:rPr>
          <w:rFonts w:ascii="Arial" w:hAnsi="Arial" w:cs="Arial"/>
          <w:b/>
          <w:bCs/>
          <w:color w:val="00539F" w:themeColor="accent1"/>
          <w:sz w:val="40"/>
          <w:szCs w:val="40"/>
          <w:bdr w:val="none" w:sz="0" w:space="0" w:color="auto" w:frame="1"/>
          <w:shd w:val="clear" w:color="auto" w:fill="FFFFFF"/>
        </w:rPr>
      </w:pPr>
      <w:r w:rsidRPr="001A5E77">
        <w:rPr>
          <w:rFonts w:ascii="Arial" w:hAnsi="Arial" w:cs="Arial"/>
          <w:b/>
          <w:bCs/>
          <w:color w:val="00539F" w:themeColor="accent1"/>
          <w:sz w:val="40"/>
          <w:szCs w:val="40"/>
          <w:bdr w:val="none" w:sz="0" w:space="0" w:color="auto" w:frame="1"/>
          <w:shd w:val="clear" w:color="auto" w:fill="FFFFFF"/>
        </w:rPr>
        <w:t>Rovnosť v odmeňovaní mužov a žien je v Tescu samozrejmosť. Reťazec ide ešte ďalej</w:t>
      </w:r>
    </w:p>
    <w:p w14:paraId="6AF18FB1" w14:textId="77777777" w:rsidR="003A57A4" w:rsidRPr="00F351B5" w:rsidRDefault="003A57A4" w:rsidP="00F351B5">
      <w:pPr>
        <w:pStyle w:val="Normlnywebov"/>
        <w:spacing w:before="0" w:beforeAutospacing="0" w:after="0" w:afterAutospacing="0"/>
        <w:jc w:val="center"/>
        <w:rPr>
          <w:rFonts w:ascii="Arial" w:hAnsi="Arial" w:cs="Arial"/>
          <w:b/>
          <w:bCs/>
          <w:color w:val="00539F" w:themeColor="accent1"/>
          <w:sz w:val="23"/>
          <w:szCs w:val="23"/>
          <w:bdr w:val="none" w:sz="0" w:space="0" w:color="auto" w:frame="1"/>
        </w:rPr>
      </w:pPr>
    </w:p>
    <w:p w14:paraId="2DAC6EFD" w14:textId="50F9A0AA" w:rsidR="00DA2E6E" w:rsidRDefault="00F351B5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</w:pPr>
      <w:r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  <w:t xml:space="preserve">BRATISLAVA </w:t>
      </w:r>
      <w:r w:rsidR="00DA2E6E" w:rsidRPr="00DA2E6E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  <w:t>30</w:t>
      </w:r>
      <w:r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  <w:t>.</w:t>
      </w:r>
      <w:r w:rsidR="00DA2E6E" w:rsidRPr="00DA2E6E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  <w:t xml:space="preserve"> júna 2021</w:t>
      </w:r>
      <w:r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  <w:t xml:space="preserve"> - </w:t>
      </w:r>
      <w:r w:rsidR="00DA2E6E" w:rsidRPr="00DA2E6E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  <w:t>Príklad hodný nasledovania! Reťazec Tesco vyvíja maximálne úsilie v starostlivosti o všetkých kolegov. Čo je nemenej dôležité, k pozitívnej zmene inšpiruje aj ostatných. Inklúziu na pracovisku pritom vníma ako dôležitú deväť z desiatich obyvateľov Slovenska, ukázal nezávislý prieskum.</w:t>
      </w:r>
    </w:p>
    <w:p w14:paraId="5DE34627" w14:textId="7307295F" w:rsidR="001E680F" w:rsidRDefault="001E680F" w:rsidP="00DA2E6E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</w:pPr>
    </w:p>
    <w:p w14:paraId="74CB0E3B" w14:textId="039AC3AB" w:rsidR="001E680F" w:rsidRDefault="001A5E77" w:rsidP="00DA2E6E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</w:pPr>
      <w:r>
        <w:rPr>
          <w:noProof/>
        </w:rPr>
        <w:drawing>
          <wp:inline distT="0" distB="0" distL="0" distR="0" wp14:anchorId="31778278" wp14:editId="736820F0">
            <wp:extent cx="6016625" cy="4030345"/>
            <wp:effectExtent l="0" t="0" r="3175" b="8255"/>
            <wp:docPr id="4" name="Obrázok 4" descr="Obrázok, na ktorom je text, osoba, stojaci, pózujúc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text, osoba, stojaci, pózujúci&#10;&#10;Automaticky generovaný popi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AF600" w14:textId="7CEC1418" w:rsidR="00EF39E9" w:rsidRDefault="00EF39E9" w:rsidP="00DA2E6E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</w:pPr>
    </w:p>
    <w:p w14:paraId="493B92B4" w14:textId="77777777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>Tesco patrí medzi troch najväčších súkromných zamestnávateľov na Slovensku. Reťazec zamestnáva takmer 9 000 kolegov rôznych národností, ktorí pochádzajú z odlišných prostredí a majú rozdielne potreby i životné ambície. Práve táto pestrosť motivuje Tesco, aby sa už 25 rokov na Slovensku zlepšovalo - ako skvelé miesto na prácu a, samozrejme, nakupovanie. Reťazec ešte v roku 2019 podpísal na Slovensku Chartu diverzity a dnes ide ešte ďalej. Zverejnil unikátnu správu o témach diverzity a inklúzie, ktorej význam si vo veľkom uvedomujú aj obyvatelia Slovenska, čo potvrdzuje aj najnovší prieskum.</w:t>
      </w:r>
    </w:p>
    <w:p w14:paraId="48B6E2FE" w14:textId="77777777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</w:p>
    <w:p w14:paraId="2B2F0B02" w14:textId="77777777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  <w:r w:rsidRPr="00EF39E9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lang w:val="sk-SK" w:eastAsia="sk-SK"/>
        </w:rPr>
        <w:t xml:space="preserve">„Už 25 rokov sú srdcom nášho podnikania ľudia, či už sú to naši kolegovia, zákazníci alebo dodávatelia – všetko, čo robíme, robíme pre nich. V Tescu sme totiž presvedčení, že práve naše kolegyne a kolegovia sú kľúčom k úspechu. Veľmi ma teší, že Tesco už dnes považuje za skvelé miesto na prácu 92 % kolegov. Priniesli sme im množstvo programov a aktivít zameraných na podporu kultúry diverzity a inklúzie. Na tento krok chceme teraz nadviazať a podeliť sa o náš pokrok v tejto oblasti aj s verejnosťou. Som hrdý, že prinášame našu prvú správu o diverzite a inklúzii, ktorá je svojím obsahom na Slovensku unikátna. Prináša súhrn informácií, ako sa nám darí v tejto oblasti a naše plány do budúcnosti. Hoci už teraz majú u nás ženy silné zastúpenie v seniorných rolách, 61 % manažérskych pozícií zastávajú v Tescu ženy, chceme aj naďalej zvyšovať ich podiel a zabezpečiť všetkým kolegyniam a kolegom </w:t>
      </w:r>
      <w:r w:rsidRPr="00EF39E9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lang w:val="sk-SK" w:eastAsia="sk-SK"/>
        </w:rPr>
        <w:lastRenderedPageBreak/>
        <w:t>rovnaký prístup ku všetkým pozíciám. Chceme byť ešte viac ústretoví k rodine a ešte viac podporovať kolegyne a kolegov so zmenenou pracovnou schopnosťou zo zdravotných dôvodov,“</w:t>
      </w: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 xml:space="preserve"> vysvetľuje </w:t>
      </w:r>
      <w:r w:rsidRPr="00EF39E9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  <w:t>Martin Kuruc, generálny riaditeľ Tesca na Slovensku</w:t>
      </w: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>.</w:t>
      </w:r>
    </w:p>
    <w:p w14:paraId="46C6124F" w14:textId="77777777" w:rsidR="00EF39E9" w:rsidRPr="00EF39E9" w:rsidRDefault="00EF39E9" w:rsidP="00EF39E9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</w:p>
    <w:p w14:paraId="37B93E96" w14:textId="77777777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>Pandémia COVID-19 ovplyvnila nerovným spôsobom rôzne sociálne skupiny. Nevyhnutnosť posilňovať inklúziu sa preto v súčasnosti ukázala ešte naliehavejšou než kedykoľvek predtým. Inkluzívna kultúra je neoddeliteľnou súčasťou značky a hodnôt Tesca. Až 89 % kolegýň a kolegov verí, že v Tescu môžu byť sami sebou bez strachu z odsudzovania.</w:t>
      </w:r>
    </w:p>
    <w:p w14:paraId="58A2CAD2" w14:textId="77777777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</w:p>
    <w:p w14:paraId="784BBB51" w14:textId="77777777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</w:pPr>
      <w:r w:rsidRPr="00EF39E9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  <w:t>Rovnosť v odmeňovaní mužov a žien? V Tescu samozrejmosť!</w:t>
      </w:r>
    </w:p>
    <w:p w14:paraId="0C5E1B40" w14:textId="77777777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</w:p>
    <w:p w14:paraId="11480D71" w14:textId="77777777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>V Tescu je rovnosť v odmeňovaní muža a ženy samozrejmosťou - na rovnakej pozícii reťazec platí rovnakú mzdu ženám aj mužom. Férový a zodpovedný prístup Tesca chváli aj zástupkyňa odborových organizácií. „</w:t>
      </w:r>
      <w:r w:rsidRPr="0011322A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lang w:val="sk-SK" w:eastAsia="sk-SK"/>
        </w:rPr>
        <w:t>Odborové organizácie vítajú transparentnosť, ktorú spoločnosť Tesco demonštruje zverejnením správy o diverzite a inklúzii. Ukazuje, že Tesco skutočne je inkluzívnym zamestnávateľom,“</w:t>
      </w: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 xml:space="preserve"> uviedla </w:t>
      </w:r>
      <w:r w:rsidRPr="0011322A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  <w:t>Dagmar Alterová, zástupkyňa odborových základných organizácií pôsobiacich pri Tescu</w:t>
      </w: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>.</w:t>
      </w:r>
    </w:p>
    <w:p w14:paraId="14385B74" w14:textId="77777777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</w:p>
    <w:p w14:paraId="51193BD8" w14:textId="77777777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>V rámci správy reťazec prináša aj bližší pohľad na celkový pomer platov žien a mužov, ktorý ovplyvňuje množstvo faktorov, ako rodová distribúcia medzi najvyššie platenými pozíciami či kariérne voľby žien a mužov. Štatistické údaje za Slovensko potvrdzujú, že rozdiel v odmeňovaní mužov a žien je celospoločenskou výzvou. V porovnaní s tým je situácia v Tescu významne lepšia.</w:t>
      </w:r>
    </w:p>
    <w:p w14:paraId="5019AAFB" w14:textId="77777777" w:rsidR="00EF39E9" w:rsidRPr="00EF39E9" w:rsidRDefault="00EF39E9" w:rsidP="00EF39E9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</w:p>
    <w:p w14:paraId="03C12D0A" w14:textId="518E743A" w:rsidR="00EF39E9" w:rsidRPr="0011322A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</w:pP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>„</w:t>
      </w:r>
      <w:r w:rsidRPr="0011322A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lang w:val="sk-SK" w:eastAsia="sk-SK"/>
        </w:rPr>
        <w:t>Sme hrdí, že ako jeden z najväčších súkromných zamestnávateľov na Slovensku dobrovoľne pristupujeme k publikovaniu našich dát o odmeňovaní žien a mužov. Meranie odmeňovania žien a mužov nám umožňuje identifikovať a pochopiť potenciálne prekážky brániace ženám rozvíjať kariéru v našej spoločnosti a podniknúť kroky na odstránenie týchto prekážok,“</w:t>
      </w: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 xml:space="preserve"> </w:t>
      </w:r>
      <w:r w:rsidRPr="0011322A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  <w:t>dodáva Miroslava Rychtárechová, personálna riaditeľka Tesca na Slovensku.</w:t>
      </w: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 xml:space="preserve"> „</w:t>
      </w:r>
      <w:r w:rsidRPr="0011322A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lang w:val="sk-SK" w:eastAsia="sk-SK"/>
        </w:rPr>
        <w:t>Vyzývame aj ďalšie veľké spoločnosti, aby sa k n á m pridali, odmerali a zverejnili podobné dáta vrátane rozdielov v odmeňovaní mužov a žien. Pretože spoločne dokážeme priniesť širšiu pozitívnu zmenu v celej spoločnosti,“</w:t>
      </w: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 xml:space="preserve"> dodala </w:t>
      </w:r>
      <w:r w:rsidRPr="0011322A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  <w:t>M. Rychtárechová.</w:t>
      </w:r>
    </w:p>
    <w:p w14:paraId="24E9818C" w14:textId="5D8A1E78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</w:p>
    <w:p w14:paraId="2D1B9215" w14:textId="3A9845CD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>Práve pozitívnu zmenu Tesco prináša už dnes napríklad aj pri zamestnávaní ľudí so zdravotným znevýhodnením a zmenenou pracovnou schopnosťou. V roku 2020 takto v Tescu pracovalo 6,9 % z celkového počtu kolegýň a kolegov, čo potvrdzuje inkluzívny prístup Tesca ku každému kolegovi a kolegyni.</w:t>
      </w:r>
    </w:p>
    <w:p w14:paraId="15BFE847" w14:textId="532D4AE0" w:rsidR="00EF39E9" w:rsidRPr="00EF39E9" w:rsidRDefault="00F351B5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  <w:r>
        <w:rPr>
          <w:rFonts w:ascii="Arial" w:eastAsia="Times New Roman" w:hAnsi="Arial" w:cs="Arial"/>
          <w:noProof/>
          <w:color w:val="000000" w:themeColor="text1"/>
          <w:sz w:val="23"/>
          <w:szCs w:val="23"/>
          <w:lang w:val="sk-SK"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E74115" wp14:editId="10C698E9">
                <wp:simplePos x="0" y="0"/>
                <wp:positionH relativeFrom="margin">
                  <wp:posOffset>-83820</wp:posOffset>
                </wp:positionH>
                <wp:positionV relativeFrom="paragraph">
                  <wp:posOffset>178435</wp:posOffset>
                </wp:positionV>
                <wp:extent cx="6248400" cy="1371600"/>
                <wp:effectExtent l="0" t="0" r="19050" b="19050"/>
                <wp:wrapNone/>
                <wp:docPr id="3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0E2DE" id="Obdĺžnik 3" o:spid="_x0000_s1026" style="position:absolute;margin-left:-6.6pt;margin-top:14.05pt;width:492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" filled="f" strokecolor="#0070c0" strokeweight="1pt">
                <w10:wrap anchorx="margin"/>
              </v:rect>
            </w:pict>
          </mc:Fallback>
        </mc:AlternateContent>
      </w:r>
    </w:p>
    <w:p w14:paraId="45485687" w14:textId="71D0A28F" w:rsidR="00EF39E9" w:rsidRPr="00F351B5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i/>
          <w:iCs/>
          <w:color w:val="00539F" w:themeColor="accent1"/>
          <w:sz w:val="18"/>
          <w:szCs w:val="18"/>
          <w:lang w:val="sk-SK" w:eastAsia="sk-SK"/>
        </w:rPr>
      </w:pPr>
      <w:r w:rsidRPr="00F351B5">
        <w:rPr>
          <w:rFonts w:ascii="Arial" w:eastAsia="Times New Roman" w:hAnsi="Arial" w:cs="Arial"/>
          <w:b/>
          <w:bCs/>
          <w:i/>
          <w:iCs/>
          <w:color w:val="00539F" w:themeColor="accent1"/>
          <w:sz w:val="18"/>
          <w:szCs w:val="18"/>
          <w:lang w:val="sk-SK" w:eastAsia="sk-SK"/>
        </w:rPr>
        <w:t>Čo znamená „rovnosť v odmeňovaní“ mužov a žien?</w:t>
      </w:r>
      <w:r w:rsidRPr="00F351B5">
        <w:rPr>
          <w:rFonts w:ascii="Arial" w:eastAsia="Times New Roman" w:hAnsi="Arial" w:cs="Arial"/>
          <w:i/>
          <w:iCs/>
          <w:color w:val="00539F" w:themeColor="accent1"/>
          <w:sz w:val="18"/>
          <w:szCs w:val="18"/>
          <w:lang w:val="sk-SK" w:eastAsia="sk-SK"/>
        </w:rPr>
        <w:t xml:space="preserve"> (v angličtine equal pay)</w:t>
      </w:r>
    </w:p>
    <w:p w14:paraId="032C6146" w14:textId="77777777" w:rsidR="00EF39E9" w:rsidRPr="00F351B5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i/>
          <w:iCs/>
          <w:color w:val="00539F" w:themeColor="accent1"/>
          <w:sz w:val="18"/>
          <w:szCs w:val="18"/>
          <w:lang w:val="sk-SK" w:eastAsia="sk-SK"/>
        </w:rPr>
      </w:pPr>
      <w:r w:rsidRPr="00F351B5">
        <w:rPr>
          <w:rFonts w:ascii="Arial" w:eastAsia="Times New Roman" w:hAnsi="Arial" w:cs="Arial"/>
          <w:i/>
          <w:iCs/>
          <w:color w:val="00539F" w:themeColor="accent1"/>
          <w:sz w:val="18"/>
          <w:szCs w:val="18"/>
          <w:lang w:val="sk-SK" w:eastAsia="sk-SK"/>
        </w:rPr>
        <w:t>Tesco je zamestnávateľom s rovnosťou v odmeňovaní v zmysle legislatívy EÚ. Znamená to, že na rovnakých pozíciách vypláca reťazec kolegom rovnaký plat bez ohľadu na to, či sú to ženy alebo muži.</w:t>
      </w:r>
    </w:p>
    <w:p w14:paraId="589C60F1" w14:textId="77777777" w:rsidR="00EF39E9" w:rsidRPr="00F351B5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i/>
          <w:iCs/>
          <w:color w:val="00539F" w:themeColor="accent1"/>
          <w:sz w:val="18"/>
          <w:szCs w:val="18"/>
          <w:lang w:val="sk-SK" w:eastAsia="sk-SK"/>
        </w:rPr>
      </w:pPr>
    </w:p>
    <w:p w14:paraId="684DA7F2" w14:textId="6BF93245" w:rsidR="00EF39E9" w:rsidRPr="00F351B5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i/>
          <w:iCs/>
          <w:color w:val="00539F" w:themeColor="accent1"/>
          <w:sz w:val="18"/>
          <w:szCs w:val="18"/>
          <w:lang w:val="sk-SK" w:eastAsia="sk-SK"/>
        </w:rPr>
      </w:pPr>
      <w:r w:rsidRPr="00F351B5">
        <w:rPr>
          <w:rFonts w:ascii="Arial" w:eastAsia="Times New Roman" w:hAnsi="Arial" w:cs="Arial"/>
          <w:b/>
          <w:bCs/>
          <w:i/>
          <w:iCs/>
          <w:color w:val="00539F" w:themeColor="accent1"/>
          <w:sz w:val="18"/>
          <w:szCs w:val="18"/>
          <w:lang w:val="sk-SK" w:eastAsia="sk-SK"/>
        </w:rPr>
        <w:t>Aký je rozdiel medzi rovnosťou v odmeňovaní a mzdovým rozdielom medzi mužmi a ženami? (v angličtine gender pay gap)</w:t>
      </w:r>
    </w:p>
    <w:p w14:paraId="0630E65B" w14:textId="77777777" w:rsidR="00EF39E9" w:rsidRPr="00F351B5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i/>
          <w:iCs/>
          <w:color w:val="00539F" w:themeColor="accent1"/>
          <w:sz w:val="18"/>
          <w:szCs w:val="18"/>
          <w:lang w:val="sk-SK" w:eastAsia="sk-SK"/>
        </w:rPr>
      </w:pPr>
      <w:r w:rsidRPr="00F351B5">
        <w:rPr>
          <w:rFonts w:ascii="Arial" w:eastAsia="Times New Roman" w:hAnsi="Arial" w:cs="Arial"/>
          <w:i/>
          <w:iCs/>
          <w:color w:val="00539F" w:themeColor="accent1"/>
          <w:sz w:val="18"/>
          <w:szCs w:val="18"/>
          <w:lang w:val="sk-SK" w:eastAsia="sk-SK"/>
        </w:rPr>
        <w:t>„Gender pay gap“, a teda mzdový rozdiel medzi mužmi a ženami, meria rozdiel medzi celkovým priemerným príjmom všetkých mužov a všetkých žien v spoločnosti bez ohľadu na pozíciu alebo mzdový stupeň. Mzdový rozdiel medzi mužmi a ženami môže byť spôsobený mnohými faktormi, ako je napríklad fakt, že muži obsadzujú viac seniorné role, zatiaľ čo ženy pracujú častejšie na juniornejších pozíciách.</w:t>
      </w:r>
    </w:p>
    <w:p w14:paraId="665E988C" w14:textId="77777777" w:rsidR="00F351B5" w:rsidRDefault="00F351B5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</w:pPr>
    </w:p>
    <w:p w14:paraId="6D6F8484" w14:textId="1E6D68EA" w:rsidR="00EF39E9" w:rsidRPr="0011322A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</w:pPr>
      <w:r w:rsidRPr="0011322A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  <w:t>Inklúziu na pracovisku podporuje 93 % ľudí</w:t>
      </w:r>
    </w:p>
    <w:p w14:paraId="6A3BABE5" w14:textId="77777777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</w:p>
    <w:p w14:paraId="0E3E586C" w14:textId="77777777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>Podpora inklúzie, rodín a férového odmeňovania na pracovisku je dôležitá pre väčšinu obyvateľov Slovenska. Vyplýva to z aktuálneho prieskumu agentúry NMS Market Research na vzorke viac ako tisíc opýtaných. Pozrite si jeho výsledky nižšie:</w:t>
      </w:r>
    </w:p>
    <w:p w14:paraId="08D2CDC0" w14:textId="77777777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</w:p>
    <w:p w14:paraId="1A2C002A" w14:textId="77777777" w:rsidR="00EF39E9" w:rsidRPr="00F351B5" w:rsidRDefault="00EF39E9" w:rsidP="00F351B5">
      <w:pPr>
        <w:pStyle w:val="Odsekzoznamu"/>
        <w:numPr>
          <w:ilvl w:val="0"/>
          <w:numId w:val="31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  <w:r w:rsidRPr="00F351B5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>Podpora inklúzie na pracovisku je dôležitá pre 93 % Slovákov a Sloveniek</w:t>
      </w:r>
    </w:p>
    <w:p w14:paraId="250F14B1" w14:textId="18F7F8F8" w:rsidR="00EF39E9" w:rsidRPr="00F351B5" w:rsidRDefault="00EF39E9" w:rsidP="00F351B5">
      <w:pPr>
        <w:pStyle w:val="Odsekzoznamu"/>
        <w:numPr>
          <w:ilvl w:val="0"/>
          <w:numId w:val="31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  <w:r w:rsidRPr="00F351B5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>85 % obyvateľov Slovenska vníma pozitívne podporu rodín a prinášanie benefitov zo strany zamestnávateľov, ktoré idú nad rámec zákonných požiadaviek, tak ako to urobilo nedávno Tesco pri predstavení nových benefitov pre kolegyne a kolegov</w:t>
      </w:r>
    </w:p>
    <w:p w14:paraId="4E997E13" w14:textId="7C16F365" w:rsidR="00EF39E9" w:rsidRPr="00F351B5" w:rsidRDefault="00EF39E9" w:rsidP="00F351B5">
      <w:pPr>
        <w:pStyle w:val="Odsekzoznamu"/>
        <w:numPr>
          <w:ilvl w:val="0"/>
          <w:numId w:val="31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  <w:r w:rsidRPr="00F351B5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>Tému rovnosti v odmeňovaní považuje za dôležitú 63 % Slovákov a Sloveniek</w:t>
      </w:r>
    </w:p>
    <w:p w14:paraId="71868C72" w14:textId="17845777" w:rsidR="00EF39E9" w:rsidRPr="00F351B5" w:rsidRDefault="00EF39E9" w:rsidP="00F351B5">
      <w:pPr>
        <w:pStyle w:val="Odsekzoznamu"/>
        <w:numPr>
          <w:ilvl w:val="0"/>
          <w:numId w:val="31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  <w:r w:rsidRPr="00F351B5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>Ďalšia približne tretina opýtaných má na túto tému neutrálny názor</w:t>
      </w:r>
    </w:p>
    <w:p w14:paraId="51C6E0AF" w14:textId="4B1C27C1" w:rsidR="00EF39E9" w:rsidRPr="00F351B5" w:rsidRDefault="00EF39E9" w:rsidP="00F351B5">
      <w:pPr>
        <w:pStyle w:val="Odsekzoznamu"/>
        <w:numPr>
          <w:ilvl w:val="0"/>
          <w:numId w:val="31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  <w:r w:rsidRPr="00F351B5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>Iba 24 % ľudí považuje prístup zamestnávateľov v otázke rovnosti v odmeňovaní za dostatočný</w:t>
      </w:r>
    </w:p>
    <w:p w14:paraId="5EDE4295" w14:textId="77777777" w:rsidR="00F351B5" w:rsidRDefault="00F351B5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</w:pPr>
    </w:p>
    <w:p w14:paraId="55A6695F" w14:textId="6DF804D5" w:rsidR="00EF39E9" w:rsidRPr="007E3DFD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</w:pPr>
      <w:r w:rsidRPr="007E3DFD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  <w:t>Nové unikátne rodinné benefity Tesca na Slovensku</w:t>
      </w:r>
    </w:p>
    <w:p w14:paraId="6C254C82" w14:textId="77777777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</w:p>
    <w:p w14:paraId="6DF4FFC0" w14:textId="77777777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>Podpora pre čerstvých rodičov ako napríklad navýšenie materskej dávky do úrovne 100 % čistej mzdy, otcovské voľno, podpora pri adopcii či podpora pre tých, ktorí plánujú mať rodinu. Prečítajte si o týchto benefitoch viac.</w:t>
      </w:r>
    </w:p>
    <w:p w14:paraId="6B045193" w14:textId="77777777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</w:p>
    <w:p w14:paraId="1FBA52BD" w14:textId="77777777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>Nezávislý prieskum tak potvrdil, že Tesco sa správne rozhodlo pre nadštandardný prístup v oblasti diverzity a inklúzie. Takýto krok vítajú aj odborníci.</w:t>
      </w:r>
    </w:p>
    <w:p w14:paraId="4A04EA83" w14:textId="77777777" w:rsidR="00EF39E9" w:rsidRP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</w:p>
    <w:p w14:paraId="07CBE278" w14:textId="4A02A52B" w:rsidR="00EF39E9" w:rsidRDefault="00EF39E9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>„</w:t>
      </w:r>
      <w:r w:rsidRPr="007E3DFD">
        <w:rPr>
          <w:rFonts w:ascii="Arial" w:eastAsia="Times New Roman" w:hAnsi="Arial" w:cs="Arial"/>
          <w:i/>
          <w:iCs/>
          <w:color w:val="000000" w:themeColor="text1"/>
          <w:sz w:val="23"/>
          <w:szCs w:val="23"/>
          <w:lang w:val="sk-SK" w:eastAsia="sk-SK"/>
        </w:rPr>
        <w:t xml:space="preserve">Naprieč sektormi sa čoraz častejšie stretávame s tým, že firmy informácie o diverzite a inklúzii dávajú do výročných správ. To, že bola publikovaná samostatná podrobná správa, je dôkazom, že firma sa tejto téme venuje do hĺbky a považuje podporu diverzity a inklúzie za súčasť svojej firemnej kultúry. Oceňujem, ako Tesco pristupuje k podpore rovnosti príležitostí, aké nadštandardné rodinné benefity ponúka. Osobitne ma teší, že transparentne informuje aj o rodovom mzdovom rozdiele a konkrétnych krokoch pre jeho znižovanie, čím môže byť príkladom aj pre iných zamestnávateľov,” </w:t>
      </w: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 xml:space="preserve">potvrdzuje </w:t>
      </w:r>
      <w:r w:rsidRPr="007E3DFD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  <w:t>Ivana Vagaská, senior programová manažérka Nadácie Pontis</w:t>
      </w: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 xml:space="preserve"> a </w:t>
      </w:r>
      <w:r w:rsidRPr="007E3DFD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  <w:t>výkonná riaditeľka Business Leaders Forum</w:t>
      </w: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 xml:space="preserve">, ktorá </w:t>
      </w:r>
      <w:r w:rsidRPr="00D32F71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val="sk-SK" w:eastAsia="sk-SK"/>
        </w:rPr>
        <w:t>zastrešuje Chartu diverzity na Slovensku</w:t>
      </w:r>
      <w:r w:rsidRPr="00EF39E9"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  <w:t>.</w:t>
      </w:r>
    </w:p>
    <w:p w14:paraId="62873351" w14:textId="34F1613E" w:rsidR="001A5E77" w:rsidRDefault="001A5E77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</w:p>
    <w:p w14:paraId="2B2C61E3" w14:textId="31276BCC" w:rsidR="001A5E77" w:rsidRDefault="001A5E77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  <w:r>
        <w:rPr>
          <w:noProof/>
        </w:rPr>
        <w:lastRenderedPageBreak/>
        <w:drawing>
          <wp:inline distT="0" distB="0" distL="0" distR="0" wp14:anchorId="505F5177" wp14:editId="73C532B2">
            <wp:extent cx="5686425" cy="7953375"/>
            <wp:effectExtent l="0" t="0" r="9525" b="9525"/>
            <wp:docPr id="6" name="Obrázok 6" descr="Obrázok, na ktorom je text, noviny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text, noviny, snímka obrazovky&#10;&#10;Automaticky generovaný popi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DBF4" w14:textId="651E22BC" w:rsidR="001A5E77" w:rsidRDefault="001A5E77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</w:p>
    <w:p w14:paraId="502777D0" w14:textId="4975DF41" w:rsidR="001A5E77" w:rsidRPr="00EF39E9" w:rsidRDefault="001A5E77" w:rsidP="00F351B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val="sk-SK" w:eastAsia="sk-SK"/>
        </w:rPr>
      </w:pPr>
    </w:p>
    <w:sectPr w:rsidR="001A5E77" w:rsidRPr="00EF39E9" w:rsidSect="00CF7E55">
      <w:headerReference w:type="default" r:id="rId13"/>
      <w:footerReference w:type="default" r:id="rId14"/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D4B14" w14:textId="77777777" w:rsidR="005C7914" w:rsidRDefault="005C7914" w:rsidP="007B61C8">
      <w:r>
        <w:separator/>
      </w:r>
    </w:p>
  </w:endnote>
  <w:endnote w:type="continuationSeparator" w:id="0">
    <w:p w14:paraId="10FB7003" w14:textId="77777777" w:rsidR="005C7914" w:rsidRDefault="005C7914" w:rsidP="007B6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SCO Modern">
    <w:altName w:val="Franklin Gothic Medium Cond"/>
    <w:charset w:val="EE"/>
    <w:family w:val="auto"/>
    <w:pitch w:val="variable"/>
    <w:sig w:usb0="0000020F" w:usb1="00000000" w:usb2="00000000" w:usb3="00000000" w:csb0="00000097" w:csb1="00000000"/>
  </w:font>
  <w:font w:name="Tesco">
    <w:altName w:val="Trebuchet MS"/>
    <w:panose1 w:val="00000000000000000000"/>
    <w:charset w:val="00"/>
    <w:family w:val="modern"/>
    <w:notTrueType/>
    <w:pitch w:val="variable"/>
    <w:sig w:usb0="80000027" w:usb1="00000040" w:usb2="00000000" w:usb3="00000000" w:csb0="00000001" w:csb1="00000000"/>
  </w:font>
  <w:font w:name="TESCO Modern Bold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BAEE9" w14:textId="1395850F" w:rsidR="008C6882" w:rsidRDefault="00BD39C3" w:rsidP="006352EA">
    <w:pPr>
      <w:pStyle w:val="Pta"/>
      <w:tabs>
        <w:tab w:val="clear" w:pos="4513"/>
        <w:tab w:val="left" w:pos="4395"/>
      </w:tabs>
      <w:jc w:val="both"/>
    </w:pPr>
    <w:r>
      <w:tab/>
    </w:r>
    <w:sdt>
      <w:sdtPr>
        <w:id w:val="-14706710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tab/>
        </w:r>
        <w:r>
          <w:tab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12966" w14:textId="77777777" w:rsidR="005C7914" w:rsidRDefault="005C7914" w:rsidP="007B61C8">
      <w:r>
        <w:separator/>
      </w:r>
    </w:p>
  </w:footnote>
  <w:footnote w:type="continuationSeparator" w:id="0">
    <w:p w14:paraId="6481ADDD" w14:textId="77777777" w:rsidR="005C7914" w:rsidRDefault="005C7914" w:rsidP="007B61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25648" w14:textId="77777777" w:rsidR="00D859BB" w:rsidRDefault="00D859BB" w:rsidP="00D859BB">
    <w:pPr>
      <w:pStyle w:val="Hlavika"/>
    </w:pPr>
    <w:r>
      <w:rPr>
        <w:b/>
        <w:bCs/>
      </w:rPr>
      <w:t>Tlačová správa</w:t>
    </w:r>
    <w:r>
      <w:t xml:space="preserve"> </w:t>
    </w:r>
    <w:r>
      <w:rPr>
        <w:noProof/>
        <w:lang w:val="sk-SK"/>
      </w:rPr>
      <w:drawing>
        <wp:anchor distT="0" distB="0" distL="114300" distR="114300" simplePos="0" relativeHeight="251658240" behindDoc="1" locked="0" layoutInCell="1" allowOverlap="1" wp14:anchorId="5ED4CDFD" wp14:editId="24EF5ED8">
          <wp:simplePos x="0" y="0"/>
          <wp:positionH relativeFrom="margin">
            <wp:posOffset>5375910</wp:posOffset>
          </wp:positionH>
          <wp:positionV relativeFrom="paragraph">
            <wp:posOffset>-104775</wp:posOffset>
          </wp:positionV>
          <wp:extent cx="871220" cy="255905"/>
          <wp:effectExtent l="0" t="0" r="0" b="0"/>
          <wp:wrapNone/>
          <wp:docPr id="1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255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F79CEEA" w14:textId="77777777" w:rsidR="00D859BB" w:rsidRDefault="00D859B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D5548"/>
    <w:multiLevelType w:val="hybridMultilevel"/>
    <w:tmpl w:val="E1E225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F0876"/>
    <w:multiLevelType w:val="hybridMultilevel"/>
    <w:tmpl w:val="A3C8C4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D03B7"/>
    <w:multiLevelType w:val="hybridMultilevel"/>
    <w:tmpl w:val="6544789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444CF"/>
    <w:multiLevelType w:val="hybridMultilevel"/>
    <w:tmpl w:val="E71CC9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6056B"/>
    <w:multiLevelType w:val="hybridMultilevel"/>
    <w:tmpl w:val="1BC82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B02817"/>
    <w:multiLevelType w:val="hybridMultilevel"/>
    <w:tmpl w:val="817ABD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541B8"/>
    <w:multiLevelType w:val="hybridMultilevel"/>
    <w:tmpl w:val="F7A0522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E57CC"/>
    <w:multiLevelType w:val="hybridMultilevel"/>
    <w:tmpl w:val="D3E825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D74AB0"/>
    <w:multiLevelType w:val="multilevel"/>
    <w:tmpl w:val="044E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BD0735"/>
    <w:multiLevelType w:val="multilevel"/>
    <w:tmpl w:val="3E0C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966DC0"/>
    <w:multiLevelType w:val="hybridMultilevel"/>
    <w:tmpl w:val="536E16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F153FC"/>
    <w:multiLevelType w:val="multilevel"/>
    <w:tmpl w:val="859C2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845CDF"/>
    <w:multiLevelType w:val="hybridMultilevel"/>
    <w:tmpl w:val="5DD87C1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0C5F4D"/>
    <w:multiLevelType w:val="hybridMultilevel"/>
    <w:tmpl w:val="BCA452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9C67A1"/>
    <w:multiLevelType w:val="hybridMultilevel"/>
    <w:tmpl w:val="A7D063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121BF"/>
    <w:multiLevelType w:val="hybridMultilevel"/>
    <w:tmpl w:val="AEB2804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537C41"/>
    <w:multiLevelType w:val="hybridMultilevel"/>
    <w:tmpl w:val="59A68D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FE17A0"/>
    <w:multiLevelType w:val="hybridMultilevel"/>
    <w:tmpl w:val="0DA00D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977097"/>
    <w:multiLevelType w:val="hybridMultilevel"/>
    <w:tmpl w:val="35AA41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856F3E"/>
    <w:multiLevelType w:val="multilevel"/>
    <w:tmpl w:val="DC6E2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263301"/>
    <w:multiLevelType w:val="multilevel"/>
    <w:tmpl w:val="CC80E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4B0447"/>
    <w:multiLevelType w:val="multilevel"/>
    <w:tmpl w:val="851AA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A15368"/>
    <w:multiLevelType w:val="hybridMultilevel"/>
    <w:tmpl w:val="2C4CEB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113F87"/>
    <w:multiLevelType w:val="multilevel"/>
    <w:tmpl w:val="D25E1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1A2128"/>
    <w:multiLevelType w:val="hybridMultilevel"/>
    <w:tmpl w:val="7F6E361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BA1D4D"/>
    <w:multiLevelType w:val="hybridMultilevel"/>
    <w:tmpl w:val="B50032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5396D"/>
    <w:multiLevelType w:val="hybridMultilevel"/>
    <w:tmpl w:val="B1C8FB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B451B4"/>
    <w:multiLevelType w:val="multilevel"/>
    <w:tmpl w:val="3F8E8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EB6E41"/>
    <w:multiLevelType w:val="multilevel"/>
    <w:tmpl w:val="0174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D62DBA"/>
    <w:multiLevelType w:val="hybridMultilevel"/>
    <w:tmpl w:val="C79A0C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412929"/>
    <w:multiLevelType w:val="hybridMultilevel"/>
    <w:tmpl w:val="85163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8"/>
  </w:num>
  <w:num w:numId="3">
    <w:abstractNumId w:val="20"/>
  </w:num>
  <w:num w:numId="4">
    <w:abstractNumId w:val="23"/>
  </w:num>
  <w:num w:numId="5">
    <w:abstractNumId w:val="28"/>
  </w:num>
  <w:num w:numId="6">
    <w:abstractNumId w:val="27"/>
  </w:num>
  <w:num w:numId="7">
    <w:abstractNumId w:val="9"/>
  </w:num>
  <w:num w:numId="8">
    <w:abstractNumId w:val="21"/>
  </w:num>
  <w:num w:numId="9">
    <w:abstractNumId w:val="11"/>
  </w:num>
  <w:num w:numId="10">
    <w:abstractNumId w:val="19"/>
  </w:num>
  <w:num w:numId="11">
    <w:abstractNumId w:val="0"/>
  </w:num>
  <w:num w:numId="12">
    <w:abstractNumId w:val="26"/>
  </w:num>
  <w:num w:numId="13">
    <w:abstractNumId w:val="29"/>
  </w:num>
  <w:num w:numId="14">
    <w:abstractNumId w:val="24"/>
  </w:num>
  <w:num w:numId="15">
    <w:abstractNumId w:val="3"/>
  </w:num>
  <w:num w:numId="16">
    <w:abstractNumId w:val="22"/>
  </w:num>
  <w:num w:numId="17">
    <w:abstractNumId w:val="12"/>
  </w:num>
  <w:num w:numId="18">
    <w:abstractNumId w:val="14"/>
  </w:num>
  <w:num w:numId="19">
    <w:abstractNumId w:val="6"/>
  </w:num>
  <w:num w:numId="20">
    <w:abstractNumId w:val="5"/>
  </w:num>
  <w:num w:numId="21">
    <w:abstractNumId w:val="16"/>
  </w:num>
  <w:num w:numId="22">
    <w:abstractNumId w:val="1"/>
  </w:num>
  <w:num w:numId="23">
    <w:abstractNumId w:val="15"/>
  </w:num>
  <w:num w:numId="24">
    <w:abstractNumId w:val="4"/>
  </w:num>
  <w:num w:numId="25">
    <w:abstractNumId w:val="25"/>
  </w:num>
  <w:num w:numId="26">
    <w:abstractNumId w:val="18"/>
  </w:num>
  <w:num w:numId="27">
    <w:abstractNumId w:val="13"/>
  </w:num>
  <w:num w:numId="28">
    <w:abstractNumId w:val="10"/>
  </w:num>
  <w:num w:numId="29">
    <w:abstractNumId w:val="7"/>
  </w:num>
  <w:num w:numId="30">
    <w:abstractNumId w:val="17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5BD"/>
    <w:rsid w:val="000070D9"/>
    <w:rsid w:val="00007C9A"/>
    <w:rsid w:val="00032466"/>
    <w:rsid w:val="00033190"/>
    <w:rsid w:val="00036C29"/>
    <w:rsid w:val="00043941"/>
    <w:rsid w:val="000519F1"/>
    <w:rsid w:val="000653B7"/>
    <w:rsid w:val="00065BE6"/>
    <w:rsid w:val="00066A7F"/>
    <w:rsid w:val="00067514"/>
    <w:rsid w:val="0007147C"/>
    <w:rsid w:val="00084272"/>
    <w:rsid w:val="000922D8"/>
    <w:rsid w:val="00093316"/>
    <w:rsid w:val="000B1B4B"/>
    <w:rsid w:val="000B24C0"/>
    <w:rsid w:val="000C458E"/>
    <w:rsid w:val="000C5574"/>
    <w:rsid w:val="000C5DA8"/>
    <w:rsid w:val="000C6925"/>
    <w:rsid w:val="000D0647"/>
    <w:rsid w:val="000D1069"/>
    <w:rsid w:val="000D273C"/>
    <w:rsid w:val="000E42B4"/>
    <w:rsid w:val="000E6A1C"/>
    <w:rsid w:val="00100FBE"/>
    <w:rsid w:val="00104835"/>
    <w:rsid w:val="0011272A"/>
    <w:rsid w:val="0011322A"/>
    <w:rsid w:val="00113766"/>
    <w:rsid w:val="0012125A"/>
    <w:rsid w:val="00135A81"/>
    <w:rsid w:val="00141845"/>
    <w:rsid w:val="00154F07"/>
    <w:rsid w:val="001705C2"/>
    <w:rsid w:val="00174412"/>
    <w:rsid w:val="00175E83"/>
    <w:rsid w:val="00196449"/>
    <w:rsid w:val="0019708B"/>
    <w:rsid w:val="001A0BE4"/>
    <w:rsid w:val="001A1AE4"/>
    <w:rsid w:val="001A5E77"/>
    <w:rsid w:val="001B14C4"/>
    <w:rsid w:val="001B318F"/>
    <w:rsid w:val="001C2E26"/>
    <w:rsid w:val="001D39D2"/>
    <w:rsid w:val="001E07B0"/>
    <w:rsid w:val="001E24F2"/>
    <w:rsid w:val="001E680F"/>
    <w:rsid w:val="001F5073"/>
    <w:rsid w:val="002030E7"/>
    <w:rsid w:val="002212F6"/>
    <w:rsid w:val="002245B8"/>
    <w:rsid w:val="00225E57"/>
    <w:rsid w:val="00227028"/>
    <w:rsid w:val="0024725A"/>
    <w:rsid w:val="002520F0"/>
    <w:rsid w:val="0026050B"/>
    <w:rsid w:val="00267392"/>
    <w:rsid w:val="00267613"/>
    <w:rsid w:val="00271DEE"/>
    <w:rsid w:val="0027295B"/>
    <w:rsid w:val="00286E2C"/>
    <w:rsid w:val="002904BF"/>
    <w:rsid w:val="00294AD0"/>
    <w:rsid w:val="002A4A05"/>
    <w:rsid w:val="002B71B4"/>
    <w:rsid w:val="002C341E"/>
    <w:rsid w:val="002D0AC5"/>
    <w:rsid w:val="002D3117"/>
    <w:rsid w:val="002E0DDD"/>
    <w:rsid w:val="002F4E79"/>
    <w:rsid w:val="002F6EAF"/>
    <w:rsid w:val="003254C9"/>
    <w:rsid w:val="00336EA5"/>
    <w:rsid w:val="003409A4"/>
    <w:rsid w:val="003420D8"/>
    <w:rsid w:val="00354BE8"/>
    <w:rsid w:val="003551C0"/>
    <w:rsid w:val="0036719A"/>
    <w:rsid w:val="00370504"/>
    <w:rsid w:val="00371C4B"/>
    <w:rsid w:val="00373543"/>
    <w:rsid w:val="00384DC2"/>
    <w:rsid w:val="00385C4F"/>
    <w:rsid w:val="003A57A4"/>
    <w:rsid w:val="003A69D7"/>
    <w:rsid w:val="003B021B"/>
    <w:rsid w:val="003B385E"/>
    <w:rsid w:val="003B6B1B"/>
    <w:rsid w:val="003C106E"/>
    <w:rsid w:val="003D6FFC"/>
    <w:rsid w:val="003E6EE4"/>
    <w:rsid w:val="003F0A25"/>
    <w:rsid w:val="00433EB6"/>
    <w:rsid w:val="00452AE0"/>
    <w:rsid w:val="00463A1D"/>
    <w:rsid w:val="004742AD"/>
    <w:rsid w:val="0047439D"/>
    <w:rsid w:val="004801DD"/>
    <w:rsid w:val="00494C5B"/>
    <w:rsid w:val="004B0CDD"/>
    <w:rsid w:val="004B2E32"/>
    <w:rsid w:val="004C0410"/>
    <w:rsid w:val="004C5417"/>
    <w:rsid w:val="004D6D11"/>
    <w:rsid w:val="004E571F"/>
    <w:rsid w:val="004F0161"/>
    <w:rsid w:val="004F0616"/>
    <w:rsid w:val="00513A8A"/>
    <w:rsid w:val="00524DE6"/>
    <w:rsid w:val="00533B97"/>
    <w:rsid w:val="00535B6D"/>
    <w:rsid w:val="0054623B"/>
    <w:rsid w:val="0055005D"/>
    <w:rsid w:val="00551ED3"/>
    <w:rsid w:val="00553E56"/>
    <w:rsid w:val="00560A36"/>
    <w:rsid w:val="0056613C"/>
    <w:rsid w:val="005668A8"/>
    <w:rsid w:val="005730B8"/>
    <w:rsid w:val="005770A8"/>
    <w:rsid w:val="00594CBD"/>
    <w:rsid w:val="005B6999"/>
    <w:rsid w:val="005C0CE7"/>
    <w:rsid w:val="005C724F"/>
    <w:rsid w:val="005C7914"/>
    <w:rsid w:val="005F4BF9"/>
    <w:rsid w:val="005F4F7E"/>
    <w:rsid w:val="006050C5"/>
    <w:rsid w:val="00617EA9"/>
    <w:rsid w:val="0062305D"/>
    <w:rsid w:val="006352EA"/>
    <w:rsid w:val="006466D8"/>
    <w:rsid w:val="006A2111"/>
    <w:rsid w:val="006A251E"/>
    <w:rsid w:val="006A3671"/>
    <w:rsid w:val="006C4D6D"/>
    <w:rsid w:val="006C672E"/>
    <w:rsid w:val="006F1C78"/>
    <w:rsid w:val="006F29E1"/>
    <w:rsid w:val="006F3A9C"/>
    <w:rsid w:val="007159AE"/>
    <w:rsid w:val="00726AAE"/>
    <w:rsid w:val="00740BA9"/>
    <w:rsid w:val="00752518"/>
    <w:rsid w:val="00761C88"/>
    <w:rsid w:val="00763786"/>
    <w:rsid w:val="007B61C8"/>
    <w:rsid w:val="007C02EA"/>
    <w:rsid w:val="007C44BA"/>
    <w:rsid w:val="007D3FF3"/>
    <w:rsid w:val="007D6DE7"/>
    <w:rsid w:val="007E19A8"/>
    <w:rsid w:val="007E3DFD"/>
    <w:rsid w:val="007F2960"/>
    <w:rsid w:val="00803199"/>
    <w:rsid w:val="00805B7E"/>
    <w:rsid w:val="00824744"/>
    <w:rsid w:val="00833FF4"/>
    <w:rsid w:val="00847AAE"/>
    <w:rsid w:val="008535A2"/>
    <w:rsid w:val="0087295F"/>
    <w:rsid w:val="00882AC5"/>
    <w:rsid w:val="0088340C"/>
    <w:rsid w:val="008904C0"/>
    <w:rsid w:val="008B014A"/>
    <w:rsid w:val="008B3663"/>
    <w:rsid w:val="008B6CD9"/>
    <w:rsid w:val="008C0A74"/>
    <w:rsid w:val="008C6882"/>
    <w:rsid w:val="008D3C58"/>
    <w:rsid w:val="008E2BB1"/>
    <w:rsid w:val="008E3A7E"/>
    <w:rsid w:val="008E6292"/>
    <w:rsid w:val="008F057F"/>
    <w:rsid w:val="008F2887"/>
    <w:rsid w:val="008F36AF"/>
    <w:rsid w:val="008F6906"/>
    <w:rsid w:val="009045BD"/>
    <w:rsid w:val="00905C5C"/>
    <w:rsid w:val="009410EE"/>
    <w:rsid w:val="00945E0A"/>
    <w:rsid w:val="0095087D"/>
    <w:rsid w:val="00954802"/>
    <w:rsid w:val="00963990"/>
    <w:rsid w:val="00965E7F"/>
    <w:rsid w:val="009864C8"/>
    <w:rsid w:val="009904D3"/>
    <w:rsid w:val="00991DFD"/>
    <w:rsid w:val="009A3D1A"/>
    <w:rsid w:val="009B50FA"/>
    <w:rsid w:val="009B6E50"/>
    <w:rsid w:val="009D484E"/>
    <w:rsid w:val="00A07210"/>
    <w:rsid w:val="00A15DCE"/>
    <w:rsid w:val="00A30E1D"/>
    <w:rsid w:val="00A31EA4"/>
    <w:rsid w:val="00A504C0"/>
    <w:rsid w:val="00A5489D"/>
    <w:rsid w:val="00A55D64"/>
    <w:rsid w:val="00A670C2"/>
    <w:rsid w:val="00A752BB"/>
    <w:rsid w:val="00A82608"/>
    <w:rsid w:val="00A84AD1"/>
    <w:rsid w:val="00A87805"/>
    <w:rsid w:val="00A92F68"/>
    <w:rsid w:val="00A93107"/>
    <w:rsid w:val="00AB695C"/>
    <w:rsid w:val="00AD2E01"/>
    <w:rsid w:val="00B17610"/>
    <w:rsid w:val="00B23963"/>
    <w:rsid w:val="00B27219"/>
    <w:rsid w:val="00B3222A"/>
    <w:rsid w:val="00B33B4C"/>
    <w:rsid w:val="00B416DF"/>
    <w:rsid w:val="00B84F83"/>
    <w:rsid w:val="00B852E4"/>
    <w:rsid w:val="00B95AF7"/>
    <w:rsid w:val="00B96067"/>
    <w:rsid w:val="00BA3918"/>
    <w:rsid w:val="00BB3EEB"/>
    <w:rsid w:val="00BC5837"/>
    <w:rsid w:val="00BD39C3"/>
    <w:rsid w:val="00BE30E8"/>
    <w:rsid w:val="00BF1A43"/>
    <w:rsid w:val="00C04618"/>
    <w:rsid w:val="00C13A5B"/>
    <w:rsid w:val="00C17479"/>
    <w:rsid w:val="00C321C6"/>
    <w:rsid w:val="00C55D49"/>
    <w:rsid w:val="00C803B2"/>
    <w:rsid w:val="00C95E50"/>
    <w:rsid w:val="00CA3313"/>
    <w:rsid w:val="00CA4D9D"/>
    <w:rsid w:val="00CB0DB5"/>
    <w:rsid w:val="00CB5357"/>
    <w:rsid w:val="00CB7E8F"/>
    <w:rsid w:val="00CC61DD"/>
    <w:rsid w:val="00CD1684"/>
    <w:rsid w:val="00CD6258"/>
    <w:rsid w:val="00CF7E55"/>
    <w:rsid w:val="00D15906"/>
    <w:rsid w:val="00D20B25"/>
    <w:rsid w:val="00D32F71"/>
    <w:rsid w:val="00D3455D"/>
    <w:rsid w:val="00D56D14"/>
    <w:rsid w:val="00D56F77"/>
    <w:rsid w:val="00D732D2"/>
    <w:rsid w:val="00D8579C"/>
    <w:rsid w:val="00D859BB"/>
    <w:rsid w:val="00DA2E6E"/>
    <w:rsid w:val="00DB1E4C"/>
    <w:rsid w:val="00DE4E1B"/>
    <w:rsid w:val="00DE5E9C"/>
    <w:rsid w:val="00E11D28"/>
    <w:rsid w:val="00E12F3E"/>
    <w:rsid w:val="00E25A8F"/>
    <w:rsid w:val="00E33BC9"/>
    <w:rsid w:val="00E37D03"/>
    <w:rsid w:val="00E42B37"/>
    <w:rsid w:val="00E54074"/>
    <w:rsid w:val="00E543AC"/>
    <w:rsid w:val="00E56466"/>
    <w:rsid w:val="00E6590A"/>
    <w:rsid w:val="00E65BE3"/>
    <w:rsid w:val="00E67980"/>
    <w:rsid w:val="00E70B64"/>
    <w:rsid w:val="00E74335"/>
    <w:rsid w:val="00E762EC"/>
    <w:rsid w:val="00E820D9"/>
    <w:rsid w:val="00E83D98"/>
    <w:rsid w:val="00E91BDC"/>
    <w:rsid w:val="00E968DE"/>
    <w:rsid w:val="00EA2C62"/>
    <w:rsid w:val="00EA2CD2"/>
    <w:rsid w:val="00EB127D"/>
    <w:rsid w:val="00EC3180"/>
    <w:rsid w:val="00EC3BAE"/>
    <w:rsid w:val="00ED06C6"/>
    <w:rsid w:val="00ED1C57"/>
    <w:rsid w:val="00ED73B5"/>
    <w:rsid w:val="00ED7AB5"/>
    <w:rsid w:val="00EE137B"/>
    <w:rsid w:val="00EE2983"/>
    <w:rsid w:val="00EF1950"/>
    <w:rsid w:val="00EF39E9"/>
    <w:rsid w:val="00EF45FB"/>
    <w:rsid w:val="00F053CB"/>
    <w:rsid w:val="00F07D45"/>
    <w:rsid w:val="00F30C22"/>
    <w:rsid w:val="00F30F2A"/>
    <w:rsid w:val="00F351B5"/>
    <w:rsid w:val="00F52D23"/>
    <w:rsid w:val="00F57774"/>
    <w:rsid w:val="00F74198"/>
    <w:rsid w:val="00F97E5F"/>
    <w:rsid w:val="00FA4556"/>
    <w:rsid w:val="00FA672B"/>
    <w:rsid w:val="00FD1497"/>
    <w:rsid w:val="00FE305B"/>
    <w:rsid w:val="00FF21E4"/>
    <w:rsid w:val="00FF3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62BEE0"/>
  <w15:docId w15:val="{7F9C4C65-E1AA-45D5-9D80-A052B0C2C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B61C8"/>
    <w:pPr>
      <w:spacing w:after="240" w:line="240" w:lineRule="auto"/>
    </w:pPr>
    <w:rPr>
      <w:rFonts w:ascii="TESCO Modern" w:hAnsi="TESCO Modern"/>
    </w:rPr>
  </w:style>
  <w:style w:type="paragraph" w:styleId="Nadpis1">
    <w:name w:val="heading 1"/>
    <w:basedOn w:val="Titleonpage"/>
    <w:next w:val="Normlny"/>
    <w:link w:val="Nadpis1Char"/>
    <w:uiPriority w:val="9"/>
    <w:qFormat/>
    <w:rsid w:val="007159AE"/>
    <w:pPr>
      <w:outlineLvl w:val="0"/>
    </w:pPr>
    <w:rPr>
      <w:rFonts w:ascii="TESCO Modern" w:hAnsi="TESCO Modern"/>
    </w:rPr>
  </w:style>
  <w:style w:type="paragraph" w:styleId="Nadpis2">
    <w:name w:val="heading 2"/>
    <w:basedOn w:val="Normlny"/>
    <w:link w:val="Nadpis2Char"/>
    <w:uiPriority w:val="9"/>
    <w:qFormat/>
    <w:rsid w:val="005F4F7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rsid w:val="001B14C4"/>
    <w:pPr>
      <w:spacing w:before="120" w:line="216" w:lineRule="auto"/>
      <w:ind w:left="720"/>
      <w:contextualSpacing/>
    </w:pPr>
  </w:style>
  <w:style w:type="paragraph" w:customStyle="1" w:styleId="MainHeadline">
    <w:name w:val="Main Headline"/>
    <w:basedOn w:val="Normlny"/>
    <w:link w:val="MainHeadlineChar"/>
    <w:qFormat/>
    <w:rsid w:val="007B61C8"/>
    <w:pPr>
      <w:spacing w:after="480"/>
    </w:pPr>
    <w:rPr>
      <w:b/>
      <w:bCs/>
      <w:color w:val="00539F"/>
      <w:sz w:val="96"/>
      <w:szCs w:val="96"/>
    </w:rPr>
  </w:style>
  <w:style w:type="paragraph" w:customStyle="1" w:styleId="Secondarycopy">
    <w:name w:val="Secondary copy"/>
    <w:basedOn w:val="Normlny"/>
    <w:link w:val="SecondarycopyChar"/>
    <w:qFormat/>
    <w:rsid w:val="007159AE"/>
    <w:rPr>
      <w:b/>
      <w:color w:val="00539F"/>
      <w:sz w:val="72"/>
      <w:szCs w:val="72"/>
    </w:rPr>
  </w:style>
  <w:style w:type="character" w:customStyle="1" w:styleId="MainHeadlineChar">
    <w:name w:val="Main Headline Char"/>
    <w:basedOn w:val="Predvolenpsmoodseku"/>
    <w:link w:val="MainHeadline"/>
    <w:rsid w:val="007B61C8"/>
    <w:rPr>
      <w:rFonts w:ascii="TESCO Modern" w:hAnsi="TESCO Modern"/>
      <w:b/>
      <w:bCs/>
      <w:color w:val="00539F"/>
      <w:sz w:val="96"/>
      <w:szCs w:val="96"/>
    </w:rPr>
  </w:style>
  <w:style w:type="paragraph" w:customStyle="1" w:styleId="Titleonpage">
    <w:name w:val="Title on page"/>
    <w:basedOn w:val="Normlny"/>
    <w:link w:val="TitleonpageChar"/>
    <w:rsid w:val="003B6B1B"/>
    <w:rPr>
      <w:rFonts w:ascii="Tesco" w:hAnsi="Tesco"/>
      <w:b/>
      <w:color w:val="00539F"/>
      <w:sz w:val="48"/>
      <w:szCs w:val="48"/>
    </w:rPr>
  </w:style>
  <w:style w:type="character" w:customStyle="1" w:styleId="SecondarycopyChar">
    <w:name w:val="Secondary copy Char"/>
    <w:basedOn w:val="Predvolenpsmoodseku"/>
    <w:link w:val="Secondarycopy"/>
    <w:rsid w:val="007159AE"/>
    <w:rPr>
      <w:rFonts w:ascii="TESCO Modern" w:hAnsi="TESCO Modern"/>
      <w:b/>
      <w:color w:val="00539F"/>
      <w:sz w:val="72"/>
      <w:szCs w:val="72"/>
    </w:rPr>
  </w:style>
  <w:style w:type="paragraph" w:styleId="Hlavika">
    <w:name w:val="header"/>
    <w:basedOn w:val="Normlny"/>
    <w:link w:val="HlavikaChar"/>
    <w:uiPriority w:val="99"/>
    <w:unhideWhenUsed/>
    <w:rsid w:val="008C6882"/>
    <w:pPr>
      <w:tabs>
        <w:tab w:val="center" w:pos="4513"/>
        <w:tab w:val="right" w:pos="9026"/>
      </w:tabs>
      <w:spacing w:after="0"/>
    </w:pPr>
  </w:style>
  <w:style w:type="character" w:customStyle="1" w:styleId="TitleonpageChar">
    <w:name w:val="Title on page Char"/>
    <w:basedOn w:val="Predvolenpsmoodseku"/>
    <w:link w:val="Titleonpage"/>
    <w:rsid w:val="003B6B1B"/>
    <w:rPr>
      <w:rFonts w:ascii="Tesco" w:hAnsi="Tesco"/>
      <w:b/>
      <w:color w:val="00539F"/>
      <w:sz w:val="48"/>
      <w:szCs w:val="48"/>
    </w:rPr>
  </w:style>
  <w:style w:type="character" w:customStyle="1" w:styleId="HlavikaChar">
    <w:name w:val="Hlavička Char"/>
    <w:basedOn w:val="Predvolenpsmoodseku"/>
    <w:link w:val="Hlavika"/>
    <w:uiPriority w:val="99"/>
    <w:rsid w:val="008C6882"/>
  </w:style>
  <w:style w:type="paragraph" w:styleId="Pta">
    <w:name w:val="footer"/>
    <w:basedOn w:val="Normlny"/>
    <w:link w:val="PtaChar"/>
    <w:uiPriority w:val="99"/>
    <w:unhideWhenUsed/>
    <w:rsid w:val="008C6882"/>
    <w:pPr>
      <w:tabs>
        <w:tab w:val="center" w:pos="4513"/>
        <w:tab w:val="right" w:pos="9026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8C6882"/>
  </w:style>
  <w:style w:type="paragraph" w:customStyle="1" w:styleId="Thankyou">
    <w:name w:val="Thank you."/>
    <w:basedOn w:val="Normlny"/>
    <w:link w:val="ThankyouChar"/>
    <w:qFormat/>
    <w:rsid w:val="007159AE"/>
    <w:rPr>
      <w:b/>
      <w:color w:val="00539F"/>
      <w:sz w:val="96"/>
      <w:szCs w:val="96"/>
    </w:rPr>
  </w:style>
  <w:style w:type="character" w:customStyle="1" w:styleId="Nadpis1Char">
    <w:name w:val="Nadpis 1 Char"/>
    <w:basedOn w:val="Predvolenpsmoodseku"/>
    <w:link w:val="Nadpis1"/>
    <w:uiPriority w:val="9"/>
    <w:rsid w:val="007159AE"/>
    <w:rPr>
      <w:rFonts w:ascii="TESCO Modern" w:hAnsi="TESCO Modern"/>
      <w:b/>
      <w:color w:val="00539F"/>
      <w:sz w:val="48"/>
      <w:szCs w:val="48"/>
    </w:rPr>
  </w:style>
  <w:style w:type="character" w:customStyle="1" w:styleId="ThankyouChar">
    <w:name w:val="Thank you. Char"/>
    <w:basedOn w:val="Predvolenpsmoodseku"/>
    <w:link w:val="Thankyou"/>
    <w:rsid w:val="007159AE"/>
    <w:rPr>
      <w:rFonts w:ascii="TESCO Modern" w:hAnsi="TESCO Modern"/>
      <w:b/>
      <w:color w:val="00539F"/>
      <w:sz w:val="96"/>
      <w:szCs w:val="96"/>
    </w:rPr>
  </w:style>
  <w:style w:type="paragraph" w:styleId="Hlavikaobsahu">
    <w:name w:val="TOC Heading"/>
    <w:basedOn w:val="Nadpis1"/>
    <w:next w:val="Normlny"/>
    <w:uiPriority w:val="39"/>
    <w:unhideWhenUsed/>
    <w:qFormat/>
    <w:rsid w:val="003B6B1B"/>
    <w:pPr>
      <w:spacing w:line="259" w:lineRule="auto"/>
      <w:outlineLvl w:val="9"/>
    </w:pPr>
    <w:rPr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3B6B1B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3B6B1B"/>
    <w:rPr>
      <w:color w:val="000000" w:themeColor="hyperlink"/>
      <w:u w:val="single"/>
    </w:rPr>
  </w:style>
  <w:style w:type="table" w:styleId="Mriekatabuky">
    <w:name w:val="Table Grid"/>
    <w:basedOn w:val="Normlnatabuka"/>
    <w:uiPriority w:val="39"/>
    <w:rsid w:val="00043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3-Accent11">
    <w:name w:val="List Table 3 - Accent 11"/>
    <w:basedOn w:val="Normlnatabuka"/>
    <w:uiPriority w:val="48"/>
    <w:rsid w:val="00043941"/>
    <w:pPr>
      <w:spacing w:after="0" w:line="240" w:lineRule="auto"/>
    </w:pPr>
    <w:tblPr>
      <w:tblStyleRowBandSize w:val="1"/>
      <w:tblStyleColBandSize w:val="1"/>
      <w:tblBorders>
        <w:top w:val="single" w:sz="4" w:space="0" w:color="00539F" w:themeColor="accent1"/>
        <w:left w:val="single" w:sz="4" w:space="0" w:color="00539F" w:themeColor="accent1"/>
        <w:bottom w:val="single" w:sz="4" w:space="0" w:color="00539F" w:themeColor="accent1"/>
        <w:right w:val="single" w:sz="4" w:space="0" w:color="00539F" w:themeColor="accent1"/>
      </w:tblBorders>
    </w:tblPr>
    <w:tcPr>
      <w:shd w:val="clear" w:color="auto" w:fill="auto"/>
    </w:tcPr>
    <w:tblStylePr w:type="firstRow">
      <w:rPr>
        <w:rFonts w:asciiTheme="majorHAnsi" w:hAnsiTheme="majorHAnsi"/>
        <w:b/>
        <w:bCs/>
        <w:color w:val="FFFFFF" w:themeColor="background1"/>
        <w:sz w:val="24"/>
      </w:rPr>
      <w:tblPr/>
      <w:tcPr>
        <w:shd w:val="clear" w:color="auto" w:fill="00539F" w:themeFill="accent1"/>
      </w:tcPr>
    </w:tblStylePr>
    <w:tblStylePr w:type="lastRow">
      <w:rPr>
        <w:b/>
        <w:bCs/>
      </w:rPr>
      <w:tblPr/>
      <w:tcPr>
        <w:tcBorders>
          <w:top w:val="double" w:sz="4" w:space="0" w:color="00539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39F" w:themeColor="accent1"/>
          <w:right w:val="single" w:sz="4" w:space="0" w:color="00539F" w:themeColor="accent1"/>
        </w:tcBorders>
      </w:tcPr>
    </w:tblStylePr>
    <w:tblStylePr w:type="band1Horz">
      <w:tblPr/>
      <w:tcPr>
        <w:tcBorders>
          <w:top w:val="single" w:sz="4" w:space="0" w:color="00539F" w:themeColor="accent1"/>
          <w:bottom w:val="single" w:sz="4" w:space="0" w:color="00539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39F" w:themeColor="accent1"/>
          <w:left w:val="nil"/>
        </w:tcBorders>
      </w:tcPr>
    </w:tblStylePr>
    <w:tblStylePr w:type="swCell">
      <w:tblPr/>
      <w:tcPr>
        <w:tcBorders>
          <w:top w:val="double" w:sz="4" w:space="0" w:color="00539F" w:themeColor="accent1"/>
          <w:right w:val="nil"/>
        </w:tcBorders>
      </w:tcPr>
    </w:tblStylePr>
  </w:style>
  <w:style w:type="paragraph" w:customStyle="1" w:styleId="Tableheaderrow">
    <w:name w:val="Table header row"/>
    <w:basedOn w:val="Normlny"/>
    <w:link w:val="TableheaderrowChar"/>
    <w:rsid w:val="00043941"/>
    <w:rPr>
      <w:b/>
      <w:bCs/>
      <w:color w:val="FFFFFF" w:themeColor="background1"/>
      <w:sz w:val="24"/>
    </w:rPr>
  </w:style>
  <w:style w:type="character" w:customStyle="1" w:styleId="TableheaderrowChar">
    <w:name w:val="Table header row Char"/>
    <w:basedOn w:val="Predvolenpsmoodseku"/>
    <w:link w:val="Tableheaderrow"/>
    <w:rsid w:val="00043941"/>
    <w:rPr>
      <w:rFonts w:ascii="TESCO Modern" w:hAnsi="TESCO Modern"/>
      <w:b/>
      <w:bCs/>
      <w:color w:val="FFFFFF" w:themeColor="background1"/>
      <w:sz w:val="24"/>
    </w:rPr>
  </w:style>
  <w:style w:type="paragraph" w:customStyle="1" w:styleId="Default">
    <w:name w:val="Default"/>
    <w:rsid w:val="00A670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70B6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0B64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5F4F7E"/>
    <w:rPr>
      <w:rFonts w:ascii="Times New Roman" w:eastAsia="Times New Roman" w:hAnsi="Times New Roman" w:cs="Times New Roman"/>
      <w:b/>
      <w:bCs/>
      <w:sz w:val="36"/>
      <w:szCs w:val="36"/>
      <w:lang w:val="sk-SK" w:eastAsia="sk-SK"/>
    </w:rPr>
  </w:style>
  <w:style w:type="paragraph" w:styleId="Normlnywebov">
    <w:name w:val="Normal (Web)"/>
    <w:basedOn w:val="Normlny"/>
    <w:uiPriority w:val="99"/>
    <w:unhideWhenUsed/>
    <w:rsid w:val="005F4F7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customStyle="1" w:styleId="align-center">
    <w:name w:val="align-center"/>
    <w:basedOn w:val="Normlny"/>
    <w:rsid w:val="006A251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Nevyrieenzmienka">
    <w:name w:val="Unresolved Mention"/>
    <w:basedOn w:val="Predvolenpsmoodseku"/>
    <w:uiPriority w:val="99"/>
    <w:semiHidden/>
    <w:unhideWhenUsed/>
    <w:rsid w:val="00CA3313"/>
    <w:rPr>
      <w:color w:val="605E5C"/>
      <w:shd w:val="clear" w:color="auto" w:fill="E1DFDD"/>
    </w:rPr>
  </w:style>
  <w:style w:type="paragraph" w:customStyle="1" w:styleId="intro">
    <w:name w:val="intro"/>
    <w:basedOn w:val="Normlny"/>
    <w:rsid w:val="008834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Zvraznenie">
    <w:name w:val="Emphasis"/>
    <w:basedOn w:val="Predvolenpsmoodseku"/>
    <w:uiPriority w:val="20"/>
    <w:qFormat/>
    <w:rsid w:val="0088340C"/>
    <w:rPr>
      <w:i/>
      <w:iCs/>
    </w:rPr>
  </w:style>
  <w:style w:type="character" w:styleId="Vrazn">
    <w:name w:val="Strong"/>
    <w:basedOn w:val="Predvolenpsmoodseku"/>
    <w:uiPriority w:val="22"/>
    <w:qFormat/>
    <w:rsid w:val="0088340C"/>
    <w:rPr>
      <w:b/>
      <w:bCs/>
    </w:rPr>
  </w:style>
  <w:style w:type="paragraph" w:customStyle="1" w:styleId="article-date">
    <w:name w:val="article-date"/>
    <w:basedOn w:val="Normlny"/>
    <w:rsid w:val="004801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sco">
  <a:themeElements>
    <a:clrScheme name="Custom 1">
      <a:dk1>
        <a:sysClr val="windowText" lastClr="000000"/>
      </a:dk1>
      <a:lt1>
        <a:sysClr val="window" lastClr="FFFFFF"/>
      </a:lt1>
      <a:dk2>
        <a:srgbClr val="6E6767"/>
      </a:dk2>
      <a:lt2>
        <a:srgbClr val="FFFFFF"/>
      </a:lt2>
      <a:accent1>
        <a:srgbClr val="00539F"/>
      </a:accent1>
      <a:accent2>
        <a:srgbClr val="FFA626"/>
      </a:accent2>
      <a:accent3>
        <a:srgbClr val="FF7D82"/>
      </a:accent3>
      <a:accent4>
        <a:srgbClr val="00BCD4"/>
      </a:accent4>
      <a:accent5>
        <a:srgbClr val="00BFA6"/>
      </a:accent5>
      <a:accent6>
        <a:srgbClr val="CCBAA1"/>
      </a:accent6>
      <a:hlink>
        <a:srgbClr val="000000"/>
      </a:hlink>
      <a:folHlink>
        <a:srgbClr val="000000"/>
      </a:folHlink>
    </a:clrScheme>
    <a:fontScheme name="Tesco">
      <a:majorFont>
        <a:latin typeface="TESCO Modern Bold"/>
        <a:ea typeface=""/>
        <a:cs typeface=""/>
      </a:majorFont>
      <a:minorFont>
        <a:latin typeface="TESCO Modern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>
        <a:defPPr algn="ctr">
          <a:defRPr sz="1600" dirty="0" err="1" smtClean="0">
            <a:solidFill>
              <a:schemeClr val="bg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tailEnd type="arrow" w="med" len="sm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>
          <a:defRPr sz="1600" dirty="0" err="1" smtClean="0">
            <a:solidFill>
              <a:schemeClr val="tx2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Tesco" id="{395D74A4-B777-448B-8C65-A590BE8D402C}" vid="{F21F9D6D-3CCD-4C07-B46C-288106F5009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A9F75B1DDC8248B8DE340DDEAADCE0" ma:contentTypeVersion="13" ma:contentTypeDescription="Create a new document." ma:contentTypeScope="" ma:versionID="d4da340971a94cbcee7c0b0a690bd2be">
  <xsd:schema xmlns:xsd="http://www.w3.org/2001/XMLSchema" xmlns:xs="http://www.w3.org/2001/XMLSchema" xmlns:p="http://schemas.microsoft.com/office/2006/metadata/properties" xmlns:ns2="da64c365-2d32-482d-bf34-679c523ddd9e" xmlns:ns3="b00ad131-2173-4e8f-9b64-3765f7599736" targetNamespace="http://schemas.microsoft.com/office/2006/metadata/properties" ma:root="true" ma:fieldsID="f1796a00c6006460cd04669c225e788a" ns2:_="" ns3:_="">
    <xsd:import namespace="da64c365-2d32-482d-bf34-679c523ddd9e"/>
    <xsd:import namespace="b00ad131-2173-4e8f-9b64-3765f75997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c365-2d32-482d-bf34-679c523ddd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ad131-2173-4e8f-9b64-3765f75997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1FD5AE-DF65-44F9-8B20-6BECBE26EE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3C1C1D-82B5-4C35-8EF3-E57AE5DA50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64c365-2d32-482d-bf34-679c523ddd9e"/>
    <ds:schemaRef ds:uri="b00ad131-2173-4e8f-9b64-3765f75997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BECD33-EB3B-4703-B176-427EC76853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CD4270-5074-4EB8-B8C4-781D52472ED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</Pages>
  <Words>1066</Words>
  <Characters>6077</Characters>
  <Application>Microsoft Office Word</Application>
  <DocSecurity>0</DocSecurity>
  <Lines>50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Lehotska, Michaela</dc:creator>
  <cp:lastModifiedBy>Katarina Sutarova (ACONN, s.r.o.)</cp:lastModifiedBy>
  <cp:revision>222</cp:revision>
  <dcterms:created xsi:type="dcterms:W3CDTF">2019-11-18T07:25:00Z</dcterms:created>
  <dcterms:modified xsi:type="dcterms:W3CDTF">2022-02-07T14:59:00Z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fa3bcc5-af7f-4e3c-8d4c-726a9a6f8de8_Enabled">
    <vt:lpwstr>true</vt:lpwstr>
  </property>
  <property fmtid="{D5CDD505-2E9C-101B-9397-08002B2CF9AE}" pid="3" name="MSIP_Label_bfa3bcc5-af7f-4e3c-8d4c-726a9a6f8de8_SetDate">
    <vt:lpwstr>2021-12-16T15:55:46Z</vt:lpwstr>
  </property>
  <property fmtid="{D5CDD505-2E9C-101B-9397-08002B2CF9AE}" pid="4" name="MSIP_Label_bfa3bcc5-af7f-4e3c-8d4c-726a9a6f8de8_Method">
    <vt:lpwstr>Standard</vt:lpwstr>
  </property>
  <property fmtid="{D5CDD505-2E9C-101B-9397-08002B2CF9AE}" pid="5" name="MSIP_Label_bfa3bcc5-af7f-4e3c-8d4c-726a9a6f8de8_Name">
    <vt:lpwstr>bfa3bcc5-af7f-4e3c-8d4c-726a9a6f8de8</vt:lpwstr>
  </property>
  <property fmtid="{D5CDD505-2E9C-101B-9397-08002B2CF9AE}" pid="6" name="MSIP_Label_bfa3bcc5-af7f-4e3c-8d4c-726a9a6f8de8_SiteId">
    <vt:lpwstr>3928808b-8a46-426b-8f87-051a36bb2f91</vt:lpwstr>
  </property>
  <property fmtid="{D5CDD505-2E9C-101B-9397-08002B2CF9AE}" pid="7" name="MSIP_Label_bfa3bcc5-af7f-4e3c-8d4c-726a9a6f8de8_ActionId">
    <vt:lpwstr>4d3255a6-e124-4b58-ad75-1b75873ad082</vt:lpwstr>
  </property>
  <property fmtid="{D5CDD505-2E9C-101B-9397-08002B2CF9AE}" pid="8" name="MSIP_Label_bfa3bcc5-af7f-4e3c-8d4c-726a9a6f8de8_ContentBits">
    <vt:lpwstr>0</vt:lpwstr>
  </property>
  <property fmtid="{D5CDD505-2E9C-101B-9397-08002B2CF9AE}" pid="9" name="ContentTypeId">
    <vt:lpwstr>0x01010070A9F75B1DDC8248B8DE340DDEAADCE0</vt:lpwstr>
  </property>
</Properties>
</file>